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14" w:rsidRPr="00056714" w:rsidRDefault="00056714" w:rsidP="00056714">
      <w:pPr>
        <w:spacing w:line="276" w:lineRule="auto"/>
        <w:jc w:val="center"/>
        <w:rPr>
          <w:rFonts w:ascii="Georgia" w:eastAsia="휴먼명조" w:hAnsi="Georgia" w:cs="Times New Roman"/>
          <w:b/>
          <w:bCs/>
          <w:spacing w:val="-18"/>
          <w:sz w:val="40"/>
          <w:szCs w:val="32"/>
        </w:rPr>
      </w:pPr>
      <w:r w:rsidRPr="00056714">
        <w:rPr>
          <w:rFonts w:ascii="Georgia" w:eastAsia="휴먼명조" w:hAnsi="Georgia" w:cs="Times New Roman"/>
          <w:b/>
          <w:bCs/>
          <w:spacing w:val="-18"/>
          <w:sz w:val="40"/>
          <w:szCs w:val="32"/>
        </w:rPr>
        <w:t>ACRC’s Public Participation System and Anti-Corruption Education Introduced as G20 Bali Good Practices</w:t>
      </w:r>
    </w:p>
    <w:p w:rsidR="00056714" w:rsidRPr="003A4C94" w:rsidRDefault="00056714" w:rsidP="00056714">
      <w:pPr>
        <w:spacing w:line="276" w:lineRule="auto"/>
        <w:jc w:val="center"/>
        <w:rPr>
          <w:rFonts w:ascii="Times New Roman" w:eastAsia="휴먼명조" w:hAnsi="Times New Roman" w:cs="Times New Roman"/>
          <w:b/>
          <w:bCs/>
          <w:spacing w:val="-18"/>
          <w:sz w:val="40"/>
          <w:szCs w:val="32"/>
        </w:rPr>
      </w:pPr>
    </w:p>
    <w:p w:rsidR="00056714" w:rsidRPr="003A4C94" w:rsidRDefault="00056714" w:rsidP="00056714">
      <w:pPr>
        <w:spacing w:line="276" w:lineRule="auto"/>
        <w:jc w:val="center"/>
        <w:rPr>
          <w:rFonts w:ascii="Times New Roman" w:eastAsia="바탕" w:hAnsi="Times New Roman" w:cs="Times New Roman"/>
          <w:i/>
          <w:spacing w:val="-14"/>
          <w:kern w:val="0"/>
          <w:sz w:val="28"/>
          <w:szCs w:val="28"/>
        </w:rPr>
      </w:pPr>
      <w:r w:rsidRPr="00A233FE">
        <w:rPr>
          <w:rFonts w:ascii="Times New Roman" w:eastAsia="바탕" w:hAnsi="Times New Roman" w:cs="Times New Roman" w:hint="eastAsia"/>
          <w:i/>
          <w:spacing w:val="-14"/>
          <w:kern w:val="0"/>
          <w:sz w:val="28"/>
          <w:szCs w:val="28"/>
        </w:rPr>
        <w:t>-</w:t>
      </w:r>
      <w:r>
        <w:rPr>
          <w:rFonts w:ascii="Times New Roman" w:eastAsia="바탕" w:hAnsi="Times New Roman" w:cs="Times New Roman"/>
          <w:i/>
          <w:spacing w:val="-14"/>
          <w:kern w:val="0"/>
          <w:sz w:val="28"/>
          <w:szCs w:val="28"/>
        </w:rPr>
        <w:t xml:space="preserve"> </w:t>
      </w:r>
      <w:r w:rsidRPr="003A4C94">
        <w:rPr>
          <w:rFonts w:ascii="Times New Roman" w:eastAsia="바탕" w:hAnsi="Times New Roman" w:cs="Times New Roman"/>
          <w:i/>
          <w:iCs/>
          <w:spacing w:val="-14"/>
          <w:kern w:val="0"/>
          <w:sz w:val="28"/>
          <w:szCs w:val="28"/>
        </w:rPr>
        <w:t>People's Integrity Policy Monitoring Group and anti-corruption education are included in the G20 Annex</w:t>
      </w:r>
      <w:r>
        <w:rPr>
          <w:rFonts w:ascii="Times New Roman" w:eastAsia="바탕" w:hAnsi="Times New Roman" w:cs="Times New Roman"/>
          <w:i/>
          <w:iCs/>
          <w:spacing w:val="-14"/>
          <w:kern w:val="0"/>
          <w:sz w:val="28"/>
          <w:szCs w:val="28"/>
        </w:rPr>
        <w:t xml:space="preserve"> -</w:t>
      </w:r>
    </w:p>
    <w:p w:rsidR="00056714" w:rsidRDefault="00056714" w:rsidP="00056714">
      <w:pPr>
        <w:pStyle w:val="a3"/>
        <w:spacing w:line="276" w:lineRule="auto"/>
        <w:ind w:leftChars="0" w:left="0"/>
        <w:jc w:val="right"/>
        <w:textAlignment w:val="baseline"/>
        <w:rPr>
          <w:rFonts w:ascii="Times New Roman" w:eastAsia="휴먼명조" w:hAnsi="Times New Roman" w:cs="Times New Roman"/>
          <w:kern w:val="0"/>
          <w:sz w:val="28"/>
          <w:szCs w:val="24"/>
        </w:rPr>
      </w:pPr>
      <w:r>
        <w:rPr>
          <w:rFonts w:ascii="Times New Roman" w:eastAsia="휴먼명조" w:hAnsi="Times New Roman" w:cs="Times New Roman" w:hint="eastAsia"/>
          <w:kern w:val="0"/>
          <w:sz w:val="28"/>
          <w:szCs w:val="24"/>
        </w:rPr>
        <w:t>(</w:t>
      </w:r>
      <w:r w:rsidRPr="003A4C94">
        <w:rPr>
          <w:rFonts w:ascii="Times New Roman" w:eastAsia="휴먼명조" w:hAnsi="Times New Roman" w:cs="Times New Roman"/>
          <w:kern w:val="0"/>
          <w:sz w:val="28"/>
          <w:szCs w:val="24"/>
        </w:rPr>
        <w:t>November 30 2022, ACRC</w:t>
      </w:r>
      <w:r>
        <w:rPr>
          <w:rFonts w:ascii="Times New Roman" w:eastAsia="휴먼명조" w:hAnsi="Times New Roman" w:cs="Times New Roman"/>
          <w:kern w:val="0"/>
          <w:sz w:val="28"/>
          <w:szCs w:val="24"/>
        </w:rPr>
        <w:t>)</w:t>
      </w:r>
    </w:p>
    <w:p w:rsidR="00056714" w:rsidRDefault="00056714" w:rsidP="00056714">
      <w:pPr>
        <w:pStyle w:val="a3"/>
        <w:spacing w:line="276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28"/>
          <w:szCs w:val="24"/>
        </w:rPr>
      </w:pPr>
    </w:p>
    <w:p w:rsidR="00056714" w:rsidRPr="00CF5E7E" w:rsidRDefault="00056714" w:rsidP="00056714">
      <w:pPr>
        <w:pStyle w:val="a3"/>
        <w:spacing w:line="276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32"/>
          <w:szCs w:val="24"/>
        </w:rPr>
      </w:pP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Public participation systems for anti-corruption policies and education programs of the Anti-Corruption and Civil Rights Commission (Chairperson </w:t>
      </w:r>
      <w:proofErr w:type="spellStart"/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>Jeon</w:t>
      </w:r>
      <w:proofErr w:type="spellEnd"/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 Hyun-</w:t>
      </w:r>
      <w:proofErr w:type="spellStart"/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>Heui</w:t>
      </w:r>
      <w:proofErr w:type="spellEnd"/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, ACRC) were introduced as good practices in the Annex to the G20 Bali Leader’s Declaration on November 16. </w:t>
      </w:r>
    </w:p>
    <w:p w:rsidR="00056714" w:rsidRPr="00CF5E7E" w:rsidRDefault="00056714" w:rsidP="00056714">
      <w:pPr>
        <w:pStyle w:val="a3"/>
        <w:spacing w:line="276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32"/>
          <w:szCs w:val="24"/>
        </w:rPr>
      </w:pPr>
    </w:p>
    <w:p w:rsidR="00056714" w:rsidRPr="00CF5E7E" w:rsidRDefault="00056714" w:rsidP="00056714">
      <w:pPr>
        <w:pStyle w:val="a3"/>
        <w:spacing w:line="276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32"/>
          <w:szCs w:val="24"/>
        </w:rPr>
      </w:pP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“Compendium of Good Practices on Public Participation and Anti-Corruption Education” was adopted as one of the Annexes to the G20 Leaders’ Declaration 2022 on the 16th. </w:t>
      </w:r>
    </w:p>
    <w:p w:rsidR="00056714" w:rsidRPr="00CF5E7E" w:rsidRDefault="00056714" w:rsidP="00056714">
      <w:pPr>
        <w:pStyle w:val="a3"/>
        <w:spacing w:line="276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32"/>
          <w:szCs w:val="24"/>
        </w:rPr>
      </w:pPr>
    </w:p>
    <w:p w:rsidR="00056714" w:rsidRPr="00CF5E7E" w:rsidRDefault="00056714" w:rsidP="00056714">
      <w:pPr>
        <w:pStyle w:val="a3"/>
        <w:spacing w:line="276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32"/>
          <w:szCs w:val="24"/>
        </w:rPr>
      </w:pP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The compendium is based on practices of anti-corruption public participation and education programs in G20 countries at the G20 Anti-Corruption Working Group meeting to raise people’s awareness of anti-corruption and spread a culture of integrity. </w:t>
      </w:r>
    </w:p>
    <w:p w:rsidR="00056714" w:rsidRPr="00CF5E7E" w:rsidRDefault="00056714" w:rsidP="00056714">
      <w:pPr>
        <w:pStyle w:val="a3"/>
        <w:spacing w:line="276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32"/>
          <w:szCs w:val="24"/>
        </w:rPr>
      </w:pPr>
    </w:p>
    <w:p w:rsidR="00056714" w:rsidRPr="00CF5E7E" w:rsidRDefault="00056714" w:rsidP="00056714">
      <w:pPr>
        <w:pStyle w:val="a3"/>
        <w:spacing w:line="276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32"/>
          <w:szCs w:val="24"/>
        </w:rPr>
      </w:pP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The compendium provides various practices that the ACRC carried out in order to raise people’s awareness of corruption and establish a culture of integrity. </w:t>
      </w:r>
    </w:p>
    <w:p w:rsidR="00056714" w:rsidRPr="00CF5E7E" w:rsidRDefault="00056714" w:rsidP="00056714">
      <w:pPr>
        <w:pStyle w:val="a3"/>
        <w:spacing w:line="276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32"/>
          <w:szCs w:val="24"/>
        </w:rPr>
      </w:pPr>
    </w:p>
    <w:p w:rsidR="00056714" w:rsidRPr="00CF5E7E" w:rsidRDefault="00056714" w:rsidP="00056714">
      <w:pPr>
        <w:pStyle w:val="a3"/>
        <w:spacing w:line="276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32"/>
          <w:szCs w:val="24"/>
        </w:rPr>
      </w:pP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Good practices of public participation included </w:t>
      </w:r>
      <w:r w:rsidRPr="00CF5E7E">
        <w:rPr>
          <w:rFonts w:ascii="MS Gothic" w:eastAsia="MS Gothic" w:hAnsi="MS Gothic" w:cs="MS Gothic" w:hint="eastAsia"/>
          <w:kern w:val="0"/>
          <w:sz w:val="32"/>
          <w:szCs w:val="24"/>
        </w:rPr>
        <w:t>▴</w:t>
      </w: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the People's Integrity Policy Monitoring Group, </w:t>
      </w:r>
      <w:r w:rsidRPr="00CF5E7E">
        <w:rPr>
          <w:rFonts w:ascii="MS Gothic" w:eastAsia="MS Gothic" w:hAnsi="MS Gothic" w:cs="MS Gothic" w:hint="eastAsia"/>
          <w:kern w:val="0"/>
          <w:sz w:val="32"/>
          <w:szCs w:val="24"/>
        </w:rPr>
        <w:t>▴</w:t>
      </w: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public surveys reflected in the Integrity Assessment of public institutions, and </w:t>
      </w:r>
      <w:r w:rsidRPr="00CF5E7E">
        <w:rPr>
          <w:rFonts w:ascii="MS Gothic" w:eastAsia="MS Gothic" w:hAnsi="MS Gothic" w:cs="MS Gothic" w:hint="eastAsia"/>
          <w:kern w:val="0"/>
          <w:sz w:val="32"/>
          <w:szCs w:val="24"/>
        </w:rPr>
        <w:t>▴</w:t>
      </w: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corruption and public interest violation reporting system through an online platform. </w:t>
      </w:r>
    </w:p>
    <w:p w:rsidR="00056714" w:rsidRPr="00CF5E7E" w:rsidRDefault="00056714" w:rsidP="00056714">
      <w:pPr>
        <w:pStyle w:val="a3"/>
        <w:spacing w:line="276" w:lineRule="auto"/>
        <w:ind w:leftChars="0" w:left="0"/>
        <w:textAlignment w:val="baseline"/>
        <w:rPr>
          <w:rFonts w:ascii="Times New Roman" w:eastAsia="휴먼명조" w:hAnsi="Times New Roman" w:cs="Times New Roman" w:hint="eastAsia"/>
          <w:kern w:val="0"/>
          <w:sz w:val="32"/>
          <w:szCs w:val="24"/>
        </w:rPr>
      </w:pP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lastRenderedPageBreak/>
        <w:t xml:space="preserve">Good practices of education programs on anti-corruption included mandatory training for public officials about the prevention of corruption and programs for future generations, such as </w:t>
      </w:r>
      <w:r w:rsidRPr="00CF5E7E">
        <w:rPr>
          <w:rFonts w:ascii="MS Gothic" w:eastAsia="MS Gothic" w:hAnsi="MS Gothic" w:cs="MS Gothic" w:hint="eastAsia"/>
          <w:kern w:val="0"/>
          <w:sz w:val="32"/>
          <w:szCs w:val="24"/>
        </w:rPr>
        <w:t>▴</w:t>
      </w: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children’s puppet shows on integrity, </w:t>
      </w:r>
      <w:r w:rsidRPr="00CF5E7E">
        <w:rPr>
          <w:rFonts w:ascii="MS Gothic" w:eastAsia="MS Gothic" w:hAnsi="MS Gothic" w:cs="MS Gothic" w:hint="eastAsia"/>
          <w:kern w:val="0"/>
          <w:sz w:val="32"/>
          <w:szCs w:val="24"/>
        </w:rPr>
        <w:t>▴</w:t>
      </w: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education for elementary and middle school students about ethics and morals, and </w:t>
      </w:r>
      <w:r w:rsidRPr="00CF5E7E">
        <w:rPr>
          <w:rFonts w:ascii="MS Gothic" w:eastAsia="MS Gothic" w:hAnsi="MS Gothic" w:cs="MS Gothic" w:hint="eastAsia"/>
          <w:kern w:val="0"/>
          <w:sz w:val="32"/>
          <w:szCs w:val="24"/>
        </w:rPr>
        <w:t>▴</w:t>
      </w: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web dramas including the value of integrity. </w:t>
      </w:r>
    </w:p>
    <w:p w:rsidR="00CF5E7E" w:rsidRPr="00CF5E7E" w:rsidRDefault="00CF5E7E" w:rsidP="00056714">
      <w:pPr>
        <w:pStyle w:val="a3"/>
        <w:spacing w:line="276" w:lineRule="auto"/>
        <w:ind w:leftChars="0" w:left="0"/>
        <w:textAlignment w:val="baseline"/>
        <w:rPr>
          <w:rFonts w:ascii="Times New Roman" w:eastAsia="휴먼명조" w:hAnsi="Times New Roman" w:cs="Times New Roman"/>
          <w:kern w:val="0"/>
          <w:sz w:val="32"/>
          <w:szCs w:val="24"/>
        </w:rPr>
      </w:pPr>
    </w:p>
    <w:p w:rsidR="000F3E27" w:rsidRPr="00CF5E7E" w:rsidRDefault="00056714" w:rsidP="00056714">
      <w:pPr>
        <w:rPr>
          <w:sz w:val="22"/>
        </w:rPr>
      </w:pPr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>ACRC Assistant Chairperson of Planning and Coordination Office Lim Yoon-</w:t>
      </w:r>
      <w:proofErr w:type="spellStart"/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>Ju</w:t>
      </w:r>
      <w:proofErr w:type="spellEnd"/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 said, “The compendium provided an opportunity for Korea’s public participation in anti-corruption and good education programs to be shared with the international community. The ACRC will make efforts to ensure the value and </w:t>
      </w:r>
      <w:proofErr w:type="gramStart"/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>culture of integrity are</w:t>
      </w:r>
      <w:proofErr w:type="gramEnd"/>
      <w:r w:rsidRPr="00CF5E7E">
        <w:rPr>
          <w:rFonts w:ascii="Times New Roman" w:eastAsia="휴먼명조" w:hAnsi="Times New Roman" w:cs="Times New Roman"/>
          <w:kern w:val="0"/>
          <w:sz w:val="32"/>
          <w:szCs w:val="24"/>
        </w:rPr>
        <w:t xml:space="preserve"> further spread in society.”</w:t>
      </w:r>
    </w:p>
    <w:sectPr w:rsidR="000F3E27" w:rsidRPr="00CF5E7E" w:rsidSect="000F3E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4A" w:rsidRDefault="0047404A" w:rsidP="00CF5E7E">
      <w:r>
        <w:separator/>
      </w:r>
    </w:p>
  </w:endnote>
  <w:endnote w:type="continuationSeparator" w:id="0">
    <w:p w:rsidR="0047404A" w:rsidRDefault="0047404A" w:rsidP="00CF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4A" w:rsidRDefault="0047404A" w:rsidP="00CF5E7E">
      <w:r>
        <w:separator/>
      </w:r>
    </w:p>
  </w:footnote>
  <w:footnote w:type="continuationSeparator" w:id="0">
    <w:p w:rsidR="0047404A" w:rsidRDefault="0047404A" w:rsidP="00CF5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714"/>
    <w:rsid w:val="00056714"/>
    <w:rsid w:val="000F3E27"/>
    <w:rsid w:val="0047404A"/>
    <w:rsid w:val="00701AFA"/>
    <w:rsid w:val="00C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1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71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F5E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F5E7E"/>
  </w:style>
  <w:style w:type="paragraph" w:styleId="a5">
    <w:name w:val="footer"/>
    <w:basedOn w:val="a"/>
    <w:link w:val="Char0"/>
    <w:uiPriority w:val="99"/>
    <w:semiHidden/>
    <w:unhideWhenUsed/>
    <w:rsid w:val="00CF5E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F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2</cp:revision>
  <dcterms:created xsi:type="dcterms:W3CDTF">2022-12-09T05:28:00Z</dcterms:created>
  <dcterms:modified xsi:type="dcterms:W3CDTF">2022-12-09T05:48:00Z</dcterms:modified>
</cp:coreProperties>
</file>